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2" w:rsidRDefault="00931162" w:rsidP="00CC545F">
      <w:pPr>
        <w:jc w:val="both"/>
        <w:rPr>
          <w:rFonts w:ascii="Times New Roman" w:hAnsi="Times New Roman"/>
          <w:sz w:val="24"/>
          <w:szCs w:val="24"/>
        </w:rPr>
      </w:pPr>
    </w:p>
    <w:p w:rsidR="00C407EB" w:rsidRPr="00B55D14" w:rsidRDefault="00CC5516" w:rsidP="00CC545F">
      <w:pPr>
        <w:jc w:val="both"/>
        <w:rPr>
          <w:rFonts w:ascii="Times New Roman" w:hAnsi="Times New Roman"/>
          <w:sz w:val="24"/>
          <w:szCs w:val="24"/>
        </w:rPr>
      </w:pPr>
      <w:r w:rsidRPr="00CC55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7pt;margin-top:183.45pt;width:272.35pt;height:20.35pt;z-index:251660288;mso-position-horizontal-relative:text;mso-position-vertical-relative:text" wrapcoords="-60 0 -60 20400 21600 20400 21600 0 -60 0" stroked="f">
            <v:textbox style="mso-fit-shape-to-text:t" inset="0,0,0,0">
              <w:txbxContent>
                <w:p w:rsidR="00723F53" w:rsidRPr="00D02BF0" w:rsidRDefault="00723F53" w:rsidP="00D02BF0">
                  <w:pPr>
                    <w:pStyle w:val="Caption"/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D02BF0">
                    <w:rPr>
                      <w:color w:val="auto"/>
                    </w:rPr>
                    <w:t xml:space="preserve">Figure </w:t>
                  </w:r>
                  <w:r w:rsidR="00CC5516" w:rsidRPr="00D02BF0">
                    <w:rPr>
                      <w:color w:val="auto"/>
                    </w:rPr>
                    <w:fldChar w:fldCharType="begin"/>
                  </w:r>
                  <w:r w:rsidRPr="00D02BF0">
                    <w:rPr>
                      <w:color w:val="auto"/>
                    </w:rPr>
                    <w:instrText xml:space="preserve"> SEQ Figure \* ARABIC </w:instrText>
                  </w:r>
                  <w:r w:rsidR="00CC5516" w:rsidRPr="00D02BF0">
                    <w:rPr>
                      <w:color w:val="auto"/>
                    </w:rPr>
                    <w:fldChar w:fldCharType="separate"/>
                  </w:r>
                  <w:r w:rsidR="00EB5B16">
                    <w:rPr>
                      <w:noProof/>
                      <w:color w:val="auto"/>
                    </w:rPr>
                    <w:t>1</w:t>
                  </w:r>
                  <w:r w:rsidR="00CC5516" w:rsidRPr="00D02BF0">
                    <w:rPr>
                      <w:color w:val="auto"/>
                    </w:rPr>
                    <w:fldChar w:fldCharType="end"/>
                  </w:r>
                  <w:r w:rsidRPr="00D02BF0">
                    <w:rPr>
                      <w:color w:val="auto"/>
                    </w:rPr>
                    <w:t xml:space="preserve">: 2011 </w:t>
                  </w:r>
                  <w:r>
                    <w:rPr>
                      <w:color w:val="auto"/>
                    </w:rPr>
                    <w:t>Annual Performance</w:t>
                  </w:r>
                  <w:r w:rsidRPr="00D02BF0"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EB5B1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10795</wp:posOffset>
            </wp:positionV>
            <wp:extent cx="3058160" cy="2252980"/>
            <wp:effectExtent l="19050" t="0" r="27940" b="0"/>
            <wp:wrapTight wrapText="bothSides">
              <wp:wrapPolygon edited="0">
                <wp:start x="-135" y="0"/>
                <wp:lineTo x="-135" y="21551"/>
                <wp:lineTo x="21797" y="21551"/>
                <wp:lineTo x="21797" y="0"/>
                <wp:lineTo x="-135" y="0"/>
              </wp:wrapPolygon>
            </wp:wrapTight>
            <wp:docPr id="3" name="Chart 1" descr="Graphich showing 2011 achievement;&#10;95% target achieved&#10;5% Progress being mad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05EA7" w:rsidRPr="00B55D14">
        <w:rPr>
          <w:rFonts w:ascii="Times New Roman" w:hAnsi="Times New Roman"/>
          <w:sz w:val="24"/>
          <w:szCs w:val="24"/>
        </w:rPr>
        <w:t>T</w:t>
      </w:r>
      <w:r w:rsidR="00461B91" w:rsidRPr="00B55D14">
        <w:rPr>
          <w:rFonts w:ascii="Times New Roman" w:hAnsi="Times New Roman"/>
          <w:sz w:val="24"/>
          <w:szCs w:val="24"/>
        </w:rPr>
        <w:t>he National Transportation Safety Board</w:t>
      </w:r>
      <w:r w:rsidR="00A05EA7" w:rsidRPr="00B55D14">
        <w:rPr>
          <w:rFonts w:ascii="Times New Roman" w:hAnsi="Times New Roman"/>
          <w:sz w:val="24"/>
          <w:szCs w:val="24"/>
        </w:rPr>
        <w:t xml:space="preserve"> </w:t>
      </w:r>
      <w:r w:rsidR="00461B91" w:rsidRPr="00B55D14">
        <w:rPr>
          <w:rFonts w:ascii="Times New Roman" w:hAnsi="Times New Roman"/>
          <w:sz w:val="24"/>
          <w:szCs w:val="24"/>
        </w:rPr>
        <w:t>(NTSB)</w:t>
      </w:r>
      <w:r w:rsidR="00A05EA7" w:rsidRPr="00B55D14">
        <w:rPr>
          <w:rFonts w:ascii="Times New Roman" w:hAnsi="Times New Roman"/>
          <w:sz w:val="24"/>
          <w:szCs w:val="24"/>
        </w:rPr>
        <w:t xml:space="preserve"> </w:t>
      </w:r>
      <w:r w:rsidR="00C407EB" w:rsidRPr="00B55D14">
        <w:rPr>
          <w:rFonts w:ascii="Times New Roman" w:hAnsi="Times New Roman"/>
          <w:sz w:val="24"/>
          <w:szCs w:val="24"/>
        </w:rPr>
        <w:t xml:space="preserve">has </w:t>
      </w:r>
      <w:r w:rsidR="008A0189">
        <w:rPr>
          <w:rFonts w:ascii="Times New Roman" w:hAnsi="Times New Roman"/>
          <w:sz w:val="24"/>
          <w:szCs w:val="24"/>
        </w:rPr>
        <w:t xml:space="preserve">achieved </w:t>
      </w:r>
      <w:r w:rsidR="00687189">
        <w:rPr>
          <w:rFonts w:ascii="Times New Roman" w:hAnsi="Times New Roman"/>
          <w:sz w:val="24"/>
          <w:szCs w:val="24"/>
        </w:rPr>
        <w:t>9</w:t>
      </w:r>
      <w:r w:rsidR="00EB5B16">
        <w:rPr>
          <w:rFonts w:ascii="Times New Roman" w:hAnsi="Times New Roman"/>
          <w:sz w:val="24"/>
          <w:szCs w:val="24"/>
        </w:rPr>
        <w:t xml:space="preserve">5 </w:t>
      </w:r>
      <w:r w:rsidR="004B4488">
        <w:rPr>
          <w:rFonts w:ascii="Times New Roman" w:hAnsi="Times New Roman"/>
          <w:sz w:val="24"/>
          <w:szCs w:val="24"/>
        </w:rPr>
        <w:t>percent</w:t>
      </w:r>
      <w:r w:rsidR="00A05EA7" w:rsidRPr="00B55D14">
        <w:rPr>
          <w:rFonts w:ascii="Times New Roman" w:hAnsi="Times New Roman"/>
          <w:sz w:val="24"/>
          <w:szCs w:val="24"/>
        </w:rPr>
        <w:t xml:space="preserve"> </w:t>
      </w:r>
      <w:r w:rsidR="004A683B" w:rsidRPr="00B55D14">
        <w:rPr>
          <w:rFonts w:ascii="Times New Roman" w:hAnsi="Times New Roman"/>
          <w:sz w:val="24"/>
          <w:szCs w:val="24"/>
        </w:rPr>
        <w:t xml:space="preserve">of </w:t>
      </w:r>
      <w:r w:rsidR="004B4488">
        <w:rPr>
          <w:rFonts w:ascii="Times New Roman" w:hAnsi="Times New Roman"/>
          <w:sz w:val="24"/>
          <w:szCs w:val="24"/>
        </w:rPr>
        <w:t>its</w:t>
      </w:r>
      <w:r w:rsidR="004A683B" w:rsidRPr="00B55D14">
        <w:rPr>
          <w:rFonts w:ascii="Times New Roman" w:hAnsi="Times New Roman"/>
          <w:sz w:val="24"/>
          <w:szCs w:val="24"/>
        </w:rPr>
        <w:t xml:space="preserve"> </w:t>
      </w:r>
      <w:r w:rsidR="00461B91" w:rsidRPr="00B55D14">
        <w:rPr>
          <w:rFonts w:ascii="Times New Roman" w:hAnsi="Times New Roman"/>
          <w:sz w:val="24"/>
          <w:szCs w:val="24"/>
        </w:rPr>
        <w:t xml:space="preserve">performance </w:t>
      </w:r>
      <w:r w:rsidR="004A683B" w:rsidRPr="00B55D14">
        <w:rPr>
          <w:rFonts w:ascii="Times New Roman" w:hAnsi="Times New Roman"/>
          <w:sz w:val="24"/>
          <w:szCs w:val="24"/>
        </w:rPr>
        <w:t xml:space="preserve">targets </w:t>
      </w:r>
      <w:r w:rsidR="00C407EB" w:rsidRPr="00B55D14">
        <w:rPr>
          <w:rFonts w:ascii="Times New Roman" w:hAnsi="Times New Roman"/>
          <w:sz w:val="24"/>
          <w:szCs w:val="24"/>
        </w:rPr>
        <w:t>for fiscal year 201</w:t>
      </w:r>
      <w:r w:rsidR="00E81B22">
        <w:rPr>
          <w:rFonts w:ascii="Times New Roman" w:hAnsi="Times New Roman"/>
          <w:sz w:val="24"/>
          <w:szCs w:val="24"/>
        </w:rPr>
        <w:t>1</w:t>
      </w:r>
      <w:r w:rsidR="00C407EB" w:rsidRPr="00B55D14">
        <w:rPr>
          <w:rFonts w:ascii="Times New Roman" w:hAnsi="Times New Roman"/>
          <w:sz w:val="24"/>
          <w:szCs w:val="24"/>
        </w:rPr>
        <w:t xml:space="preserve">.  NTSB performance is guided by </w:t>
      </w:r>
      <w:r w:rsidR="004B4488">
        <w:rPr>
          <w:rFonts w:ascii="Times New Roman" w:hAnsi="Times New Roman"/>
          <w:sz w:val="24"/>
          <w:szCs w:val="24"/>
        </w:rPr>
        <w:t xml:space="preserve"> four</w:t>
      </w:r>
      <w:r w:rsidR="00C407EB" w:rsidRPr="00B55D14">
        <w:rPr>
          <w:rFonts w:ascii="Times New Roman" w:hAnsi="Times New Roman"/>
          <w:sz w:val="24"/>
          <w:szCs w:val="24"/>
        </w:rPr>
        <w:t xml:space="preserve"> strategic goals</w:t>
      </w:r>
      <w:r w:rsidR="004B4488">
        <w:rPr>
          <w:rFonts w:ascii="Times New Roman" w:hAnsi="Times New Roman"/>
          <w:sz w:val="24"/>
          <w:szCs w:val="24"/>
        </w:rPr>
        <w:t>:</w:t>
      </w:r>
      <w:r w:rsidR="00C407EB" w:rsidRPr="00B55D14">
        <w:rPr>
          <w:rFonts w:ascii="Times New Roman" w:hAnsi="Times New Roman"/>
          <w:sz w:val="24"/>
          <w:szCs w:val="24"/>
        </w:rPr>
        <w:t xml:space="preserve"> </w:t>
      </w:r>
      <w:r w:rsidR="004B4488">
        <w:rPr>
          <w:rFonts w:ascii="Times New Roman" w:hAnsi="Times New Roman"/>
          <w:sz w:val="24"/>
          <w:szCs w:val="24"/>
        </w:rPr>
        <w:t xml:space="preserve"> (</w:t>
      </w:r>
      <w:r w:rsidR="00C407EB" w:rsidRPr="00B55D14">
        <w:rPr>
          <w:rFonts w:ascii="Times New Roman" w:hAnsi="Times New Roman"/>
          <w:sz w:val="24"/>
          <w:szCs w:val="24"/>
        </w:rPr>
        <w:t xml:space="preserve">1) accomplish objective investigations of transportation accidents, </w:t>
      </w:r>
      <w:r w:rsidR="004B4488">
        <w:rPr>
          <w:rFonts w:ascii="Times New Roman" w:hAnsi="Times New Roman"/>
          <w:sz w:val="24"/>
          <w:szCs w:val="24"/>
        </w:rPr>
        <w:t>(</w:t>
      </w:r>
      <w:r w:rsidR="00C407EB" w:rsidRPr="00B55D14">
        <w:rPr>
          <w:rFonts w:ascii="Times New Roman" w:hAnsi="Times New Roman"/>
          <w:sz w:val="24"/>
          <w:szCs w:val="24"/>
        </w:rPr>
        <w:t>2) from investigations, recommend and a</w:t>
      </w:r>
      <w:r w:rsidR="00144BE9" w:rsidRPr="00B55D14">
        <w:rPr>
          <w:rFonts w:ascii="Times New Roman" w:hAnsi="Times New Roman"/>
          <w:sz w:val="24"/>
          <w:szCs w:val="24"/>
        </w:rPr>
        <w:t>d</w:t>
      </w:r>
      <w:r w:rsidR="00C407EB" w:rsidRPr="00B55D14">
        <w:rPr>
          <w:rFonts w:ascii="Times New Roman" w:hAnsi="Times New Roman"/>
          <w:sz w:val="24"/>
          <w:szCs w:val="24"/>
        </w:rPr>
        <w:t xml:space="preserve">vocate actions that will improve transportation safety, </w:t>
      </w:r>
      <w:r w:rsidR="004B4488">
        <w:rPr>
          <w:rFonts w:ascii="Times New Roman" w:hAnsi="Times New Roman"/>
          <w:sz w:val="24"/>
          <w:szCs w:val="24"/>
        </w:rPr>
        <w:t>(</w:t>
      </w:r>
      <w:r w:rsidR="00C407EB" w:rsidRPr="00B55D14">
        <w:rPr>
          <w:rFonts w:ascii="Times New Roman" w:hAnsi="Times New Roman"/>
          <w:sz w:val="24"/>
          <w:szCs w:val="24"/>
        </w:rPr>
        <w:t xml:space="preserve">3) </w:t>
      </w:r>
      <w:r w:rsidR="004B4488">
        <w:rPr>
          <w:rFonts w:ascii="Times New Roman" w:hAnsi="Times New Roman"/>
          <w:sz w:val="24"/>
          <w:szCs w:val="24"/>
        </w:rPr>
        <w:t xml:space="preserve">provide </w:t>
      </w:r>
      <w:r w:rsidR="00C407EB" w:rsidRPr="00B55D14">
        <w:rPr>
          <w:rFonts w:ascii="Times New Roman" w:hAnsi="Times New Roman"/>
          <w:sz w:val="24"/>
          <w:szCs w:val="24"/>
        </w:rPr>
        <w:t xml:space="preserve">outstanding stewardship of resources, and </w:t>
      </w:r>
      <w:r w:rsidR="004B4488">
        <w:rPr>
          <w:rFonts w:ascii="Times New Roman" w:hAnsi="Times New Roman"/>
          <w:sz w:val="24"/>
          <w:szCs w:val="24"/>
        </w:rPr>
        <w:t>(</w:t>
      </w:r>
      <w:r w:rsidR="00C407EB" w:rsidRPr="00B55D14">
        <w:rPr>
          <w:rFonts w:ascii="Times New Roman" w:hAnsi="Times New Roman"/>
          <w:sz w:val="24"/>
          <w:szCs w:val="24"/>
        </w:rPr>
        <w:t xml:space="preserve">4) </w:t>
      </w:r>
      <w:r w:rsidR="004B4488">
        <w:rPr>
          <w:rFonts w:ascii="Times New Roman" w:hAnsi="Times New Roman"/>
          <w:sz w:val="24"/>
          <w:szCs w:val="24"/>
        </w:rPr>
        <w:t xml:space="preserve">achieve </w:t>
      </w:r>
      <w:r w:rsidR="00C407EB" w:rsidRPr="00B55D14">
        <w:rPr>
          <w:rFonts w:ascii="Times New Roman" w:hAnsi="Times New Roman"/>
          <w:sz w:val="24"/>
          <w:szCs w:val="24"/>
        </w:rPr>
        <w:t>organizational excellence.  During fiscal year 201</w:t>
      </w:r>
      <w:r w:rsidR="00E81B22">
        <w:rPr>
          <w:rFonts w:ascii="Times New Roman" w:hAnsi="Times New Roman"/>
          <w:sz w:val="24"/>
          <w:szCs w:val="24"/>
        </w:rPr>
        <w:t>1</w:t>
      </w:r>
      <w:r w:rsidR="00C407EB" w:rsidRPr="00B55D14">
        <w:rPr>
          <w:rFonts w:ascii="Times New Roman" w:hAnsi="Times New Roman"/>
          <w:sz w:val="24"/>
          <w:szCs w:val="24"/>
        </w:rPr>
        <w:t xml:space="preserve">, agency activities were based on 17 specific strategic objectives and </w:t>
      </w:r>
      <w:r w:rsidR="004C736A">
        <w:rPr>
          <w:rFonts w:ascii="Times New Roman" w:hAnsi="Times New Roman"/>
          <w:sz w:val="24"/>
          <w:szCs w:val="24"/>
        </w:rPr>
        <w:t>3</w:t>
      </w:r>
      <w:r w:rsidR="00A42E47">
        <w:rPr>
          <w:rFonts w:ascii="Times New Roman" w:hAnsi="Times New Roman"/>
          <w:sz w:val="24"/>
          <w:szCs w:val="24"/>
        </w:rPr>
        <w:t>0</w:t>
      </w:r>
      <w:r w:rsidR="004C736A" w:rsidRPr="00B55D14">
        <w:rPr>
          <w:rFonts w:ascii="Times New Roman" w:hAnsi="Times New Roman"/>
          <w:sz w:val="24"/>
          <w:szCs w:val="24"/>
        </w:rPr>
        <w:t xml:space="preserve"> </w:t>
      </w:r>
      <w:r w:rsidR="00C407EB" w:rsidRPr="00B55D14">
        <w:rPr>
          <w:rFonts w:ascii="Times New Roman" w:hAnsi="Times New Roman"/>
          <w:sz w:val="24"/>
          <w:szCs w:val="24"/>
        </w:rPr>
        <w:t xml:space="preserve">performance measures that cascaded from these </w:t>
      </w:r>
      <w:r w:rsidR="00250FA7">
        <w:rPr>
          <w:rFonts w:ascii="Times New Roman" w:hAnsi="Times New Roman"/>
          <w:sz w:val="24"/>
          <w:szCs w:val="24"/>
        </w:rPr>
        <w:t>four</w:t>
      </w:r>
      <w:r w:rsidR="00C407EB" w:rsidRPr="00B55D14">
        <w:rPr>
          <w:rFonts w:ascii="Times New Roman" w:hAnsi="Times New Roman"/>
          <w:sz w:val="24"/>
          <w:szCs w:val="24"/>
        </w:rPr>
        <w:t xml:space="preserve"> strategic goals</w:t>
      </w:r>
      <w:r w:rsidR="00FD56CB" w:rsidRPr="00B55D14">
        <w:rPr>
          <w:rFonts w:ascii="Times New Roman" w:hAnsi="Times New Roman"/>
          <w:sz w:val="24"/>
          <w:szCs w:val="24"/>
        </w:rPr>
        <w:t xml:space="preserve"> and </w:t>
      </w:r>
      <w:r w:rsidR="00C407EB" w:rsidRPr="00B55D14">
        <w:rPr>
          <w:rFonts w:ascii="Times New Roman" w:hAnsi="Times New Roman"/>
          <w:sz w:val="24"/>
          <w:szCs w:val="24"/>
        </w:rPr>
        <w:t>directly related to organizational and employee performance.</w:t>
      </w:r>
    </w:p>
    <w:p w:rsidR="00C407EB" w:rsidRPr="00B55D14" w:rsidRDefault="00C407EB" w:rsidP="00CC545F">
      <w:pPr>
        <w:jc w:val="both"/>
        <w:rPr>
          <w:rFonts w:ascii="Times New Roman" w:hAnsi="Times New Roman"/>
          <w:sz w:val="24"/>
          <w:szCs w:val="24"/>
        </w:rPr>
      </w:pPr>
    </w:p>
    <w:p w:rsidR="008B59DA" w:rsidRPr="00B55D14" w:rsidRDefault="004B4488" w:rsidP="00CB1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Listed b</w:t>
      </w:r>
      <w:r w:rsidR="00FD56CB" w:rsidRPr="00B55D14">
        <w:rPr>
          <w:rFonts w:ascii="Times New Roman" w:hAnsi="Times New Roman"/>
          <w:sz w:val="24"/>
          <w:szCs w:val="24"/>
        </w:rPr>
        <w:t xml:space="preserve">elow </w:t>
      </w:r>
      <w:r>
        <w:rPr>
          <w:rFonts w:ascii="Times New Roman" w:hAnsi="Times New Roman"/>
          <w:sz w:val="24"/>
          <w:szCs w:val="24"/>
        </w:rPr>
        <w:t>are</w:t>
      </w:r>
      <w:r w:rsidR="00FD56CB" w:rsidRPr="00B55D14">
        <w:rPr>
          <w:rFonts w:ascii="Times New Roman" w:hAnsi="Times New Roman"/>
          <w:sz w:val="24"/>
          <w:szCs w:val="24"/>
        </w:rPr>
        <w:t xml:space="preserve"> s</w:t>
      </w:r>
      <w:r w:rsidR="00773E18" w:rsidRPr="00B55D14">
        <w:rPr>
          <w:rFonts w:ascii="Times New Roman" w:hAnsi="Times New Roman"/>
          <w:sz w:val="24"/>
          <w:szCs w:val="24"/>
        </w:rPr>
        <w:t xml:space="preserve">everal </w:t>
      </w:r>
      <w:r>
        <w:rPr>
          <w:rFonts w:ascii="Times New Roman" w:hAnsi="Times New Roman"/>
          <w:sz w:val="24"/>
          <w:szCs w:val="24"/>
        </w:rPr>
        <w:t xml:space="preserve">of the </w:t>
      </w:r>
      <w:r w:rsidR="00773E18" w:rsidRPr="00B55D14">
        <w:rPr>
          <w:rFonts w:ascii="Times New Roman" w:hAnsi="Times New Roman"/>
          <w:sz w:val="24"/>
          <w:szCs w:val="24"/>
        </w:rPr>
        <w:t xml:space="preserve">key </w:t>
      </w:r>
      <w:r w:rsidR="00FD56CB" w:rsidRPr="00B55D14">
        <w:rPr>
          <w:rFonts w:ascii="Times New Roman" w:hAnsi="Times New Roman"/>
          <w:sz w:val="24"/>
          <w:szCs w:val="24"/>
        </w:rPr>
        <w:t>performance targets</w:t>
      </w:r>
      <w:r>
        <w:rPr>
          <w:rFonts w:ascii="Times New Roman" w:hAnsi="Times New Roman"/>
          <w:sz w:val="24"/>
          <w:szCs w:val="24"/>
        </w:rPr>
        <w:t xml:space="preserve"> that</w:t>
      </w:r>
      <w:r w:rsidR="00FD56CB" w:rsidRPr="00B55D14">
        <w:rPr>
          <w:rFonts w:ascii="Times New Roman" w:hAnsi="Times New Roman"/>
          <w:sz w:val="24"/>
          <w:szCs w:val="24"/>
        </w:rPr>
        <w:t xml:space="preserve"> the agency successfully met: </w:t>
      </w:r>
      <w:r w:rsidR="00A05EA7" w:rsidRPr="00B55D14">
        <w:rPr>
          <w:rFonts w:ascii="Times New Roman" w:hAnsi="Times New Roman"/>
          <w:sz w:val="24"/>
          <w:szCs w:val="24"/>
        </w:rPr>
        <w:t xml:space="preserve"> </w:t>
      </w:r>
    </w:p>
    <w:p w:rsidR="00773E18" w:rsidRPr="00B55D14" w:rsidRDefault="00773E18" w:rsidP="009B7A60">
      <w:pPr>
        <w:jc w:val="both"/>
        <w:rPr>
          <w:rFonts w:ascii="Times New Roman" w:hAnsi="Times New Roman"/>
          <w:sz w:val="24"/>
          <w:szCs w:val="24"/>
        </w:rPr>
      </w:pPr>
    </w:p>
    <w:p w:rsidR="008A0189" w:rsidRPr="004C736A" w:rsidRDefault="004B023D" w:rsidP="009B7A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8A0189">
        <w:rPr>
          <w:rFonts w:ascii="Times New Roman" w:hAnsi="Times New Roman"/>
          <w:sz w:val="24"/>
          <w:szCs w:val="24"/>
        </w:rPr>
        <w:t xml:space="preserve">The Board adopted </w:t>
      </w:r>
      <w:r w:rsidR="00B85EA5" w:rsidRPr="008A0189">
        <w:rPr>
          <w:rFonts w:ascii="Times New Roman" w:hAnsi="Times New Roman"/>
          <w:sz w:val="24"/>
          <w:szCs w:val="24"/>
        </w:rPr>
        <w:t>1</w:t>
      </w:r>
      <w:r w:rsidR="00E55F1D">
        <w:rPr>
          <w:rFonts w:ascii="Times New Roman" w:hAnsi="Times New Roman"/>
          <w:sz w:val="24"/>
          <w:szCs w:val="24"/>
        </w:rPr>
        <w:t>2</w:t>
      </w:r>
      <w:r w:rsidR="00B85EA5" w:rsidRPr="008A0189">
        <w:rPr>
          <w:rFonts w:ascii="Times New Roman" w:hAnsi="Times New Roman"/>
          <w:sz w:val="24"/>
          <w:szCs w:val="24"/>
        </w:rPr>
        <w:t xml:space="preserve"> </w:t>
      </w:r>
      <w:r w:rsidRPr="008A0189">
        <w:rPr>
          <w:rFonts w:ascii="Times New Roman" w:hAnsi="Times New Roman"/>
          <w:sz w:val="24"/>
          <w:szCs w:val="24"/>
        </w:rPr>
        <w:t xml:space="preserve">reports that </w:t>
      </w:r>
      <w:r w:rsidR="004B4488" w:rsidRPr="008A0189">
        <w:rPr>
          <w:rFonts w:ascii="Times New Roman" w:hAnsi="Times New Roman"/>
          <w:sz w:val="24"/>
          <w:szCs w:val="24"/>
        </w:rPr>
        <w:t xml:space="preserve">had </w:t>
      </w:r>
      <w:r w:rsidRPr="008A0189">
        <w:rPr>
          <w:rFonts w:ascii="Times New Roman" w:hAnsi="Times New Roman"/>
          <w:sz w:val="24"/>
          <w:szCs w:val="24"/>
        </w:rPr>
        <w:t xml:space="preserve">resulted from </w:t>
      </w:r>
      <w:r w:rsidR="00B55D14" w:rsidRPr="008A0189">
        <w:rPr>
          <w:rFonts w:ascii="Times New Roman" w:hAnsi="Times New Roman"/>
          <w:sz w:val="24"/>
          <w:szCs w:val="24"/>
        </w:rPr>
        <w:t xml:space="preserve">the completion of </w:t>
      </w:r>
      <w:r w:rsidRPr="008A0189">
        <w:rPr>
          <w:rFonts w:ascii="Times New Roman" w:hAnsi="Times New Roman"/>
          <w:sz w:val="24"/>
          <w:szCs w:val="24"/>
        </w:rPr>
        <w:t xml:space="preserve">major </w:t>
      </w:r>
      <w:r w:rsidR="004B4488" w:rsidRPr="008A0189">
        <w:rPr>
          <w:rFonts w:ascii="Times New Roman" w:hAnsi="Times New Roman"/>
          <w:sz w:val="24"/>
          <w:szCs w:val="24"/>
        </w:rPr>
        <w:t xml:space="preserve">accident </w:t>
      </w:r>
      <w:r w:rsidRPr="008A0189">
        <w:rPr>
          <w:rFonts w:ascii="Times New Roman" w:hAnsi="Times New Roman"/>
          <w:sz w:val="24"/>
          <w:szCs w:val="24"/>
        </w:rPr>
        <w:t>investigations</w:t>
      </w:r>
      <w:r w:rsidR="009F1585" w:rsidRPr="008A0189">
        <w:rPr>
          <w:rFonts w:ascii="Times New Roman" w:hAnsi="Times New Roman"/>
          <w:sz w:val="24"/>
          <w:szCs w:val="24"/>
        </w:rPr>
        <w:t xml:space="preserve">. </w:t>
      </w:r>
    </w:p>
    <w:p w:rsidR="004C736A" w:rsidRPr="008A0189" w:rsidRDefault="00537E1A" w:rsidP="009B7A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ra</w:t>
      </w:r>
      <w:r w:rsidR="00751CC3" w:rsidRPr="00751CC3">
        <w:rPr>
          <w:rFonts w:ascii="Times New Roman" w:hAnsi="Times New Roman"/>
          <w:sz w:val="24"/>
          <w:szCs w:val="24"/>
        </w:rPr>
        <w:t>ise awareness of emerging safety issues</w:t>
      </w:r>
      <w:r w:rsidR="006871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Board held forums, hearings, conferences and completed</w:t>
      </w:r>
      <w:r w:rsidR="00E55F1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safety stud</w:t>
      </w:r>
      <w:r w:rsidR="00DF72F7">
        <w:rPr>
          <w:rFonts w:ascii="Times New Roman" w:hAnsi="Times New Roman"/>
          <w:sz w:val="24"/>
          <w:szCs w:val="24"/>
        </w:rPr>
        <w:t>y</w:t>
      </w:r>
      <w:r w:rsidR="00D052BE">
        <w:rPr>
          <w:rFonts w:ascii="Times New Roman" w:hAnsi="Times New Roman"/>
          <w:sz w:val="24"/>
          <w:szCs w:val="24"/>
        </w:rPr>
        <w:t xml:space="preserve"> on the following: </w:t>
      </w:r>
      <w:r w:rsidR="00751CC3">
        <w:rPr>
          <w:rFonts w:ascii="Times New Roman" w:hAnsi="Times New Roman"/>
          <w:sz w:val="24"/>
          <w:szCs w:val="24"/>
        </w:rPr>
        <w:t xml:space="preserve">truck and bus safety, </w:t>
      </w:r>
      <w:r w:rsidRPr="00751CC3">
        <w:rPr>
          <w:rFonts w:ascii="Times New Roman" w:hAnsi="Times New Roman"/>
          <w:sz w:val="24"/>
          <w:szCs w:val="24"/>
        </w:rPr>
        <w:t xml:space="preserve">child passenger safety </w:t>
      </w:r>
      <w:r w:rsidR="00E55F1D">
        <w:rPr>
          <w:rFonts w:ascii="Times New Roman" w:hAnsi="Times New Roman"/>
          <w:sz w:val="24"/>
          <w:szCs w:val="24"/>
        </w:rPr>
        <w:t>(air and automobiles),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CC3">
        <w:rPr>
          <w:rFonts w:ascii="Times New Roman" w:hAnsi="Times New Roman"/>
          <w:sz w:val="24"/>
          <w:szCs w:val="24"/>
        </w:rPr>
        <w:t xml:space="preserve">aging drivers, </w:t>
      </w:r>
      <w:r w:rsidR="00751CC3" w:rsidRPr="00751CC3">
        <w:rPr>
          <w:rFonts w:ascii="Times New Roman" w:hAnsi="Times New Roman"/>
          <w:sz w:val="24"/>
          <w:szCs w:val="24"/>
        </w:rPr>
        <w:t xml:space="preserve">aviation code-sharing arrangements, </w:t>
      </w:r>
      <w:r w:rsidRPr="00751CC3">
        <w:rPr>
          <w:rFonts w:ascii="Times New Roman" w:hAnsi="Times New Roman"/>
          <w:sz w:val="24"/>
          <w:szCs w:val="24"/>
        </w:rPr>
        <w:t>fishing vessel safety</w:t>
      </w:r>
      <w:r>
        <w:rPr>
          <w:rFonts w:ascii="Times New Roman" w:hAnsi="Times New Roman"/>
          <w:sz w:val="24"/>
          <w:szCs w:val="24"/>
        </w:rPr>
        <w:t>, the San Bruno pipeline explosion</w:t>
      </w:r>
      <w:r w:rsidR="00751CC3" w:rsidRPr="00751CC3">
        <w:rPr>
          <w:rFonts w:ascii="Times New Roman" w:hAnsi="Times New Roman"/>
          <w:sz w:val="24"/>
          <w:szCs w:val="24"/>
        </w:rPr>
        <w:t>,</w:t>
      </w:r>
      <w:r w:rsidR="00E55F1D">
        <w:rPr>
          <w:rFonts w:ascii="Times New Roman" w:hAnsi="Times New Roman"/>
          <w:sz w:val="24"/>
          <w:szCs w:val="24"/>
        </w:rPr>
        <w:t xml:space="preserve"> airplane fuselage structural integrity,</w:t>
      </w:r>
      <w:r w:rsidR="00751CC3" w:rsidRPr="00751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family assistance, </w:t>
      </w:r>
      <w:r w:rsidR="00751CC3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airbag performance in general aviation</w:t>
      </w:r>
      <w:r w:rsidR="00751CC3">
        <w:rPr>
          <w:rFonts w:ascii="Times New Roman" w:hAnsi="Times New Roman"/>
          <w:sz w:val="24"/>
          <w:szCs w:val="24"/>
        </w:rPr>
        <w:t>.</w:t>
      </w:r>
    </w:p>
    <w:p w:rsidR="008A0189" w:rsidRPr="008A0189" w:rsidRDefault="00646D44" w:rsidP="009B7A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0189">
        <w:rPr>
          <w:rFonts w:ascii="Times New Roman" w:hAnsi="Times New Roman"/>
          <w:color w:val="auto"/>
          <w:sz w:val="24"/>
          <w:szCs w:val="24"/>
        </w:rPr>
        <w:t>78 percent of safety recommendations were implemented over the last five years.</w:t>
      </w:r>
    </w:p>
    <w:p w:rsidR="007F0608" w:rsidRPr="00B85EA5" w:rsidRDefault="007F0608" w:rsidP="009B7A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5EA5">
        <w:rPr>
          <w:rFonts w:ascii="Times New Roman" w:hAnsi="Times New Roman"/>
          <w:color w:val="auto"/>
          <w:sz w:val="24"/>
          <w:szCs w:val="24"/>
        </w:rPr>
        <w:t xml:space="preserve">The Office of Administrative Law Judges disposed of </w:t>
      </w:r>
      <w:r w:rsidR="004B57C9" w:rsidRPr="00B85EA5">
        <w:rPr>
          <w:rFonts w:ascii="Times New Roman" w:hAnsi="Times New Roman"/>
          <w:color w:val="auto"/>
          <w:sz w:val="24"/>
          <w:szCs w:val="24"/>
        </w:rPr>
        <w:t>7</w:t>
      </w:r>
      <w:r w:rsidR="00EB5B16">
        <w:rPr>
          <w:rFonts w:ascii="Times New Roman" w:hAnsi="Times New Roman"/>
          <w:color w:val="auto"/>
          <w:sz w:val="24"/>
          <w:szCs w:val="24"/>
        </w:rPr>
        <w:t>5</w:t>
      </w:r>
      <w:r w:rsidR="00E81B22" w:rsidRPr="00B85EA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5EA5">
        <w:rPr>
          <w:rFonts w:ascii="Times New Roman" w:hAnsi="Times New Roman"/>
          <w:color w:val="auto"/>
          <w:sz w:val="24"/>
          <w:szCs w:val="24"/>
        </w:rPr>
        <w:t>percent of total case</w:t>
      </w:r>
      <w:r w:rsidRPr="00B85EA5">
        <w:rPr>
          <w:rFonts w:ascii="Times New Roman" w:hAnsi="Times New Roman"/>
          <w:sz w:val="24"/>
          <w:szCs w:val="24"/>
        </w:rPr>
        <w:t>s.</w:t>
      </w:r>
    </w:p>
    <w:p w:rsidR="008B59DA" w:rsidRPr="008A0189" w:rsidRDefault="00492F1C" w:rsidP="009B7A6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85EA5">
        <w:rPr>
          <w:rFonts w:ascii="Times New Roman" w:hAnsi="Times New Roman"/>
          <w:color w:val="auto"/>
          <w:sz w:val="24"/>
          <w:szCs w:val="24"/>
        </w:rPr>
        <w:t>The agency received an unqualified audit opinion of financial reports.</w:t>
      </w:r>
    </w:p>
    <w:p w:rsidR="0008194E" w:rsidRPr="00B55D14" w:rsidRDefault="0008194E" w:rsidP="008B59D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3E18" w:rsidRDefault="00A05EA7" w:rsidP="005B79F3">
      <w:pPr>
        <w:pStyle w:val="RegularColum"/>
        <w:spacing w:after="0"/>
        <w:jc w:val="both"/>
        <w:rPr>
          <w:rFonts w:ascii="Times New Roman" w:hAnsi="Times New Roman"/>
          <w:sz w:val="24"/>
          <w:szCs w:val="24"/>
        </w:rPr>
      </w:pPr>
      <w:r w:rsidRPr="00B55D14">
        <w:rPr>
          <w:rFonts w:ascii="Times New Roman" w:hAnsi="Times New Roman"/>
          <w:sz w:val="24"/>
          <w:szCs w:val="24"/>
        </w:rPr>
        <w:t xml:space="preserve">Throughout </w:t>
      </w:r>
      <w:r w:rsidR="001A6C69" w:rsidRPr="00B55D14">
        <w:rPr>
          <w:rFonts w:ascii="Times New Roman" w:hAnsi="Times New Roman"/>
          <w:sz w:val="24"/>
          <w:szCs w:val="24"/>
        </w:rPr>
        <w:t xml:space="preserve">the year, </w:t>
      </w:r>
      <w:r w:rsidRPr="00B55D14">
        <w:rPr>
          <w:rFonts w:ascii="Times New Roman" w:hAnsi="Times New Roman"/>
          <w:sz w:val="24"/>
          <w:szCs w:val="24"/>
        </w:rPr>
        <w:t>p</w:t>
      </w:r>
      <w:r w:rsidR="001A6C69" w:rsidRPr="00B55D14">
        <w:rPr>
          <w:rFonts w:ascii="Times New Roman" w:hAnsi="Times New Roman"/>
          <w:sz w:val="24"/>
          <w:szCs w:val="24"/>
        </w:rPr>
        <w:t xml:space="preserve">erformance measures were evaluated </w:t>
      </w:r>
      <w:r w:rsidR="00CB20B2" w:rsidRPr="00B55D14">
        <w:rPr>
          <w:rFonts w:ascii="Times New Roman" w:hAnsi="Times New Roman"/>
          <w:sz w:val="24"/>
          <w:szCs w:val="24"/>
        </w:rPr>
        <w:t>as the agency continue</w:t>
      </w:r>
      <w:r w:rsidR="006222E8" w:rsidRPr="00B55D14">
        <w:rPr>
          <w:rFonts w:ascii="Times New Roman" w:hAnsi="Times New Roman"/>
          <w:sz w:val="24"/>
          <w:szCs w:val="24"/>
        </w:rPr>
        <w:t>d</w:t>
      </w:r>
      <w:r w:rsidR="00CB20B2" w:rsidRPr="00B55D14">
        <w:rPr>
          <w:rFonts w:ascii="Times New Roman" w:hAnsi="Times New Roman"/>
          <w:sz w:val="24"/>
          <w:szCs w:val="24"/>
        </w:rPr>
        <w:t xml:space="preserve"> </w:t>
      </w:r>
      <w:r w:rsidR="001A6C69" w:rsidRPr="00B55D14">
        <w:rPr>
          <w:rFonts w:ascii="Times New Roman" w:hAnsi="Times New Roman"/>
          <w:sz w:val="24"/>
          <w:szCs w:val="24"/>
        </w:rPr>
        <w:t>to de</w:t>
      </w:r>
      <w:r w:rsidR="00CB20B2" w:rsidRPr="00B55D14">
        <w:rPr>
          <w:rFonts w:ascii="Times New Roman" w:hAnsi="Times New Roman"/>
          <w:sz w:val="24"/>
          <w:szCs w:val="24"/>
        </w:rPr>
        <w:t>velop a target</w:t>
      </w:r>
      <w:r w:rsidR="0008194E" w:rsidRPr="00B55D14">
        <w:rPr>
          <w:rFonts w:ascii="Times New Roman" w:hAnsi="Times New Roman"/>
          <w:sz w:val="24"/>
          <w:szCs w:val="24"/>
        </w:rPr>
        <w:t>e</w:t>
      </w:r>
      <w:r w:rsidR="00CB20B2" w:rsidRPr="00B55D14">
        <w:rPr>
          <w:rFonts w:ascii="Times New Roman" w:hAnsi="Times New Roman"/>
          <w:sz w:val="24"/>
          <w:szCs w:val="24"/>
        </w:rPr>
        <w:t>d set of outcome/results</w:t>
      </w:r>
      <w:r w:rsidR="004B4488">
        <w:rPr>
          <w:rFonts w:ascii="Times New Roman" w:hAnsi="Times New Roman"/>
          <w:sz w:val="24"/>
          <w:szCs w:val="24"/>
        </w:rPr>
        <w:t>-</w:t>
      </w:r>
      <w:r w:rsidR="00CB20B2" w:rsidRPr="00B55D14">
        <w:rPr>
          <w:rFonts w:ascii="Times New Roman" w:hAnsi="Times New Roman"/>
          <w:sz w:val="24"/>
          <w:szCs w:val="24"/>
        </w:rPr>
        <w:t xml:space="preserve">oriented measures consistent with the </w:t>
      </w:r>
      <w:r w:rsidR="004B4488">
        <w:rPr>
          <w:rFonts w:ascii="Times New Roman" w:hAnsi="Times New Roman"/>
          <w:sz w:val="24"/>
          <w:szCs w:val="24"/>
        </w:rPr>
        <w:t>NTSB’s</w:t>
      </w:r>
      <w:r w:rsidR="00CB20B2" w:rsidRPr="00B55D14">
        <w:rPr>
          <w:rFonts w:ascii="Times New Roman" w:hAnsi="Times New Roman"/>
          <w:sz w:val="24"/>
          <w:szCs w:val="24"/>
        </w:rPr>
        <w:t xml:space="preserve"> mission.</w:t>
      </w:r>
      <w:r w:rsidR="001A6C69" w:rsidRPr="00B55D14">
        <w:rPr>
          <w:rFonts w:ascii="Times New Roman" w:hAnsi="Times New Roman"/>
          <w:sz w:val="24"/>
          <w:szCs w:val="24"/>
        </w:rPr>
        <w:t xml:space="preserve">  </w:t>
      </w:r>
      <w:r w:rsidR="00CB20B2" w:rsidRPr="00B55D14">
        <w:rPr>
          <w:rFonts w:ascii="Times New Roman" w:hAnsi="Times New Roman"/>
          <w:sz w:val="24"/>
          <w:szCs w:val="24"/>
        </w:rPr>
        <w:t>As a result of this effort, t</w:t>
      </w:r>
      <w:r w:rsidR="001A6C69" w:rsidRPr="00B55D14">
        <w:rPr>
          <w:rFonts w:ascii="Times New Roman" w:hAnsi="Times New Roman"/>
          <w:sz w:val="24"/>
          <w:szCs w:val="24"/>
        </w:rPr>
        <w:t>he</w:t>
      </w:r>
      <w:r w:rsidR="00646D44">
        <w:rPr>
          <w:rFonts w:ascii="Times New Roman" w:hAnsi="Times New Roman"/>
          <w:sz w:val="24"/>
          <w:szCs w:val="24"/>
        </w:rPr>
        <w:t xml:space="preserve"> new</w:t>
      </w:r>
      <w:r w:rsidR="001A6C69" w:rsidRPr="00B55D14">
        <w:rPr>
          <w:rFonts w:ascii="Times New Roman" w:hAnsi="Times New Roman"/>
          <w:sz w:val="24"/>
          <w:szCs w:val="24"/>
        </w:rPr>
        <w:t xml:space="preserve"> 201</w:t>
      </w:r>
      <w:r w:rsidR="00E81B22">
        <w:rPr>
          <w:rFonts w:ascii="Times New Roman" w:hAnsi="Times New Roman"/>
          <w:sz w:val="24"/>
          <w:szCs w:val="24"/>
        </w:rPr>
        <w:t>2</w:t>
      </w:r>
      <w:r w:rsidR="001A6C69" w:rsidRPr="00B55D14">
        <w:rPr>
          <w:rFonts w:ascii="Times New Roman" w:hAnsi="Times New Roman"/>
          <w:sz w:val="24"/>
          <w:szCs w:val="24"/>
        </w:rPr>
        <w:t xml:space="preserve"> Operating Plan includes </w:t>
      </w:r>
      <w:r w:rsidR="00CB20B2" w:rsidRPr="00B55D14">
        <w:rPr>
          <w:rFonts w:ascii="Times New Roman" w:hAnsi="Times New Roman"/>
          <w:sz w:val="24"/>
          <w:szCs w:val="24"/>
        </w:rPr>
        <w:t xml:space="preserve">just </w:t>
      </w:r>
      <w:r w:rsidR="00E81B22">
        <w:rPr>
          <w:rFonts w:ascii="Times New Roman" w:hAnsi="Times New Roman"/>
          <w:sz w:val="24"/>
          <w:szCs w:val="24"/>
        </w:rPr>
        <w:t>1</w:t>
      </w:r>
      <w:r w:rsidR="00C01E74">
        <w:rPr>
          <w:rFonts w:ascii="Times New Roman" w:hAnsi="Times New Roman"/>
          <w:sz w:val="24"/>
          <w:szCs w:val="24"/>
        </w:rPr>
        <w:t>4</w:t>
      </w:r>
      <w:r w:rsidR="00E81B22" w:rsidRPr="00B55D14">
        <w:rPr>
          <w:rFonts w:ascii="Times New Roman" w:hAnsi="Times New Roman"/>
          <w:sz w:val="24"/>
          <w:szCs w:val="24"/>
        </w:rPr>
        <w:t xml:space="preserve"> </w:t>
      </w:r>
      <w:r w:rsidR="001A6C69" w:rsidRPr="00B55D14">
        <w:rPr>
          <w:rFonts w:ascii="Times New Roman" w:hAnsi="Times New Roman"/>
          <w:sz w:val="24"/>
          <w:szCs w:val="24"/>
        </w:rPr>
        <w:t xml:space="preserve">performance measures, </w:t>
      </w:r>
      <w:r w:rsidR="00CB20B2" w:rsidRPr="00B55D14">
        <w:rPr>
          <w:rFonts w:ascii="Times New Roman" w:hAnsi="Times New Roman"/>
          <w:sz w:val="24"/>
          <w:szCs w:val="24"/>
        </w:rPr>
        <w:t xml:space="preserve">with </w:t>
      </w:r>
      <w:r w:rsidR="00E81B22">
        <w:rPr>
          <w:rFonts w:ascii="Times New Roman" w:hAnsi="Times New Roman"/>
          <w:sz w:val="24"/>
          <w:szCs w:val="24"/>
        </w:rPr>
        <w:t>4</w:t>
      </w:r>
      <w:r w:rsidR="008A0189">
        <w:rPr>
          <w:rFonts w:ascii="Times New Roman" w:hAnsi="Times New Roman"/>
          <w:sz w:val="24"/>
          <w:szCs w:val="24"/>
        </w:rPr>
        <w:t>3</w:t>
      </w:r>
      <w:r w:rsidR="004B4488">
        <w:rPr>
          <w:rFonts w:ascii="Times New Roman" w:hAnsi="Times New Roman"/>
          <w:sz w:val="24"/>
          <w:szCs w:val="24"/>
        </w:rPr>
        <w:t xml:space="preserve"> percent</w:t>
      </w:r>
      <w:r w:rsidR="00CB20B2" w:rsidRPr="00B55D14">
        <w:rPr>
          <w:rFonts w:ascii="Times New Roman" w:hAnsi="Times New Roman"/>
          <w:sz w:val="24"/>
          <w:szCs w:val="24"/>
        </w:rPr>
        <w:t xml:space="preserve"> of those </w:t>
      </w:r>
      <w:r w:rsidR="006222E8" w:rsidRPr="00B55D14">
        <w:rPr>
          <w:rFonts w:ascii="Times New Roman" w:hAnsi="Times New Roman"/>
          <w:sz w:val="24"/>
          <w:szCs w:val="24"/>
        </w:rPr>
        <w:t>measures focusing</w:t>
      </w:r>
      <w:r w:rsidR="00CB20B2" w:rsidRPr="00B55D14">
        <w:rPr>
          <w:rFonts w:ascii="Times New Roman" w:hAnsi="Times New Roman"/>
          <w:sz w:val="24"/>
          <w:szCs w:val="24"/>
        </w:rPr>
        <w:t xml:space="preserve"> on </w:t>
      </w:r>
      <w:r w:rsidR="001A6C69" w:rsidRPr="00B55D14">
        <w:rPr>
          <w:rFonts w:ascii="Times New Roman" w:hAnsi="Times New Roman"/>
          <w:sz w:val="24"/>
          <w:szCs w:val="24"/>
        </w:rPr>
        <w:t>outcome</w:t>
      </w:r>
      <w:r w:rsidR="00CB20B2" w:rsidRPr="00B55D14">
        <w:rPr>
          <w:rFonts w:ascii="Times New Roman" w:hAnsi="Times New Roman"/>
          <w:sz w:val="24"/>
          <w:szCs w:val="24"/>
        </w:rPr>
        <w:t>s/</w:t>
      </w:r>
      <w:r w:rsidR="001A6C69" w:rsidRPr="00B55D14">
        <w:rPr>
          <w:rFonts w:ascii="Times New Roman" w:hAnsi="Times New Roman"/>
          <w:sz w:val="24"/>
          <w:szCs w:val="24"/>
        </w:rPr>
        <w:t xml:space="preserve">results, in accordance with government performance management best practices.  The remainder </w:t>
      </w:r>
      <w:r w:rsidR="0008194E" w:rsidRPr="00B55D14">
        <w:rPr>
          <w:rFonts w:ascii="Times New Roman" w:hAnsi="Times New Roman"/>
          <w:sz w:val="24"/>
          <w:szCs w:val="24"/>
        </w:rPr>
        <w:t xml:space="preserve">of the measures </w:t>
      </w:r>
      <w:r w:rsidR="006222E8" w:rsidRPr="00B55D14">
        <w:rPr>
          <w:rFonts w:ascii="Times New Roman" w:hAnsi="Times New Roman"/>
          <w:sz w:val="24"/>
          <w:szCs w:val="24"/>
        </w:rPr>
        <w:t>are classified</w:t>
      </w:r>
      <w:r w:rsidR="001A6C69" w:rsidRPr="00B55D14">
        <w:rPr>
          <w:rFonts w:ascii="Times New Roman" w:hAnsi="Times New Roman"/>
          <w:sz w:val="24"/>
          <w:szCs w:val="24"/>
        </w:rPr>
        <w:t xml:space="preserve"> as either output or efficiency performance measures.</w:t>
      </w:r>
      <w:r w:rsidR="0008194E" w:rsidRPr="00B55D14">
        <w:rPr>
          <w:rFonts w:ascii="Times New Roman" w:hAnsi="Times New Roman"/>
          <w:sz w:val="24"/>
          <w:szCs w:val="24"/>
        </w:rPr>
        <w:t xml:space="preserve">  The </w:t>
      </w:r>
      <w:r w:rsidR="004B4488">
        <w:rPr>
          <w:rFonts w:ascii="Times New Roman" w:hAnsi="Times New Roman"/>
          <w:sz w:val="24"/>
          <w:szCs w:val="24"/>
        </w:rPr>
        <w:t>NTSB</w:t>
      </w:r>
      <w:r w:rsidR="0008194E" w:rsidRPr="00B55D14">
        <w:rPr>
          <w:rFonts w:ascii="Times New Roman" w:hAnsi="Times New Roman"/>
          <w:sz w:val="24"/>
          <w:szCs w:val="24"/>
        </w:rPr>
        <w:t xml:space="preserve"> will continue to evaluate and adjust its performance management program as applicable.</w:t>
      </w:r>
      <w:r w:rsidR="001A6C69" w:rsidRPr="00B55D14">
        <w:rPr>
          <w:rFonts w:ascii="Times New Roman" w:hAnsi="Times New Roman"/>
          <w:sz w:val="24"/>
          <w:szCs w:val="24"/>
        </w:rPr>
        <w:t xml:space="preserve"> </w:t>
      </w:r>
    </w:p>
    <w:p w:rsidR="002B6D18" w:rsidRDefault="002B6D18" w:rsidP="005B79F3">
      <w:pPr>
        <w:pStyle w:val="RegularColum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021F" w:rsidRDefault="006222E8" w:rsidP="00D02BF0">
      <w:pPr>
        <w:pStyle w:val="RegularColum"/>
        <w:spacing w:after="0"/>
        <w:rPr>
          <w:rFonts w:ascii="Times New Roman" w:hAnsi="Times New Roman"/>
          <w:b/>
          <w:szCs w:val="22"/>
          <w:u w:val="single"/>
        </w:rPr>
      </w:pPr>
      <w:r w:rsidRPr="000D4F91">
        <w:rPr>
          <w:rFonts w:ascii="Times New Roman" w:hAnsi="Times New Roman"/>
          <w:b/>
          <w:szCs w:val="22"/>
          <w:u w:val="single"/>
        </w:rPr>
        <w:t>N</w:t>
      </w:r>
      <w:r w:rsidR="00F67B35" w:rsidRPr="000D4F91">
        <w:rPr>
          <w:rFonts w:ascii="Times New Roman" w:hAnsi="Times New Roman"/>
          <w:b/>
          <w:szCs w:val="22"/>
          <w:u w:val="single"/>
        </w:rPr>
        <w:t>TSB Planning Documents</w:t>
      </w:r>
    </w:p>
    <w:p w:rsidR="007F1FC0" w:rsidRPr="007F1FC0" w:rsidRDefault="00CC5516" w:rsidP="007F1FC0">
      <w:pPr>
        <w:pStyle w:val="RegularColum"/>
        <w:numPr>
          <w:ilvl w:val="0"/>
          <w:numId w:val="6"/>
        </w:numPr>
        <w:spacing w:after="0"/>
      </w:pPr>
      <w:hyperlink r:id="rId12" w:history="1">
        <w:r w:rsidR="007F1FC0" w:rsidRPr="007F1FC0">
          <w:rPr>
            <w:rStyle w:val="Hyperlink"/>
            <w:rFonts w:ascii="ITCCentury Book" w:hAnsi="ITCCentury Book"/>
            <w:b/>
            <w:sz w:val="22"/>
          </w:rPr>
          <w:t>2010-2015 NTSB Strategic Plan</w:t>
        </w:r>
      </w:hyperlink>
    </w:p>
    <w:p w:rsidR="007F1FC0" w:rsidRPr="007F1FC0" w:rsidRDefault="00CC5516" w:rsidP="007F1FC0">
      <w:pPr>
        <w:pStyle w:val="RegularColum"/>
        <w:numPr>
          <w:ilvl w:val="0"/>
          <w:numId w:val="6"/>
        </w:numPr>
        <w:spacing w:after="0"/>
      </w:pPr>
      <w:hyperlink r:id="rId13" w:history="1">
        <w:r w:rsidR="007F1FC0" w:rsidRPr="007F1FC0">
          <w:rPr>
            <w:rStyle w:val="Hyperlink"/>
            <w:rFonts w:ascii="ITCCentury Book" w:hAnsi="ITCCentury Book"/>
            <w:b/>
            <w:sz w:val="22"/>
          </w:rPr>
          <w:t>2010-2015 Information Technology Strategic Plan</w:t>
        </w:r>
      </w:hyperlink>
    </w:p>
    <w:p w:rsidR="007F1FC0" w:rsidRPr="007F1FC0" w:rsidRDefault="00CC5516" w:rsidP="007F1FC0">
      <w:pPr>
        <w:pStyle w:val="RegularColum"/>
        <w:numPr>
          <w:ilvl w:val="0"/>
          <w:numId w:val="6"/>
        </w:numPr>
        <w:spacing w:after="0"/>
      </w:pPr>
      <w:hyperlink r:id="rId14" w:history="1">
        <w:r w:rsidR="007F1FC0" w:rsidRPr="007F1FC0">
          <w:rPr>
            <w:rStyle w:val="Hyperlink"/>
            <w:rFonts w:ascii="ITCCentury Book" w:hAnsi="ITCCentury Book"/>
            <w:b/>
            <w:sz w:val="22"/>
          </w:rPr>
          <w:t>2010 Annual Report to Congress</w:t>
        </w:r>
      </w:hyperlink>
    </w:p>
    <w:p w:rsidR="007F1FC0" w:rsidRPr="007F1FC0" w:rsidRDefault="00CC5516" w:rsidP="007F1FC0">
      <w:pPr>
        <w:pStyle w:val="RegularColum"/>
        <w:numPr>
          <w:ilvl w:val="0"/>
          <w:numId w:val="6"/>
        </w:numPr>
        <w:spacing w:after="0"/>
      </w:pPr>
      <w:hyperlink r:id="rId15" w:history="1">
        <w:r w:rsidR="007F1FC0" w:rsidRPr="007F1FC0">
          <w:rPr>
            <w:rStyle w:val="Hyperlink"/>
            <w:rFonts w:ascii="ITCCentury Book" w:hAnsi="ITCCentury Book"/>
            <w:b/>
            <w:sz w:val="22"/>
          </w:rPr>
          <w:t>2010 Performance and Accountability Report</w:t>
        </w:r>
      </w:hyperlink>
    </w:p>
    <w:p w:rsidR="007F1FC0" w:rsidRPr="007F1FC0" w:rsidRDefault="00CC5516" w:rsidP="007F1FC0">
      <w:pPr>
        <w:pStyle w:val="RegularColum"/>
        <w:numPr>
          <w:ilvl w:val="0"/>
          <w:numId w:val="6"/>
        </w:numPr>
        <w:spacing w:after="0"/>
      </w:pPr>
      <w:hyperlink r:id="rId16" w:history="1">
        <w:r w:rsidR="007F1FC0" w:rsidRPr="00723F53">
          <w:rPr>
            <w:rStyle w:val="Hyperlink"/>
            <w:rFonts w:ascii="ITCCentury Book" w:hAnsi="ITCCentury Book"/>
            <w:b/>
            <w:sz w:val="22"/>
          </w:rPr>
          <w:t>2008-2012 Strategic Human Capital Plan</w:t>
        </w:r>
      </w:hyperlink>
    </w:p>
    <w:sectPr w:rsidR="007F1FC0" w:rsidRPr="007F1FC0" w:rsidSect="000D4F91">
      <w:headerReference w:type="default" r:id="rId17"/>
      <w:pgSz w:w="12240" w:h="15840" w:code="1"/>
      <w:pgMar w:top="2621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53" w:rsidRPr="00CC027E" w:rsidRDefault="00723F53" w:rsidP="0083320A">
      <w:pPr>
        <w:rPr>
          <w:sz w:val="20"/>
        </w:rPr>
      </w:pPr>
      <w:r>
        <w:separator/>
      </w:r>
    </w:p>
  </w:endnote>
  <w:endnote w:type="continuationSeparator" w:id="0">
    <w:p w:rsidR="00723F53" w:rsidRPr="00CC027E" w:rsidRDefault="00723F53" w:rsidP="0083320A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Century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53" w:rsidRPr="00CC027E" w:rsidRDefault="00723F53" w:rsidP="0083320A">
      <w:pPr>
        <w:rPr>
          <w:sz w:val="20"/>
        </w:rPr>
      </w:pPr>
      <w:r>
        <w:separator/>
      </w:r>
    </w:p>
  </w:footnote>
  <w:footnote w:type="continuationSeparator" w:id="0">
    <w:p w:rsidR="00723F53" w:rsidRPr="00CC027E" w:rsidRDefault="00723F53" w:rsidP="0083320A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C0" w:rsidRDefault="007F1FC0" w:rsidP="0083320A">
    <w:pPr>
      <w:pStyle w:val="MAINTITLE"/>
      <w:framePr w:w="0" w:hRule="auto" w:hSpace="0" w:vSpace="0" w:wrap="auto" w:vAnchor="margin" w:hAnchor="text" w:xAlign="left" w:yAlign="inline"/>
      <w:spacing w:before="120" w:after="0" w:line="240" w:lineRule="exac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3810</wp:posOffset>
          </wp:positionV>
          <wp:extent cx="1033780" cy="1031240"/>
          <wp:effectExtent l="19050" t="0" r="0" b="0"/>
          <wp:wrapSquare wrapText="bothSides"/>
          <wp:docPr id="5" name="Picture 5" descr="NTSB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side/lib/image_rep/NTSB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</w:t>
    </w:r>
    <w:r>
      <w:tab/>
    </w:r>
    <w:r>
      <w:tab/>
    </w:r>
  </w:p>
  <w:p w:rsidR="007F1FC0" w:rsidRPr="00D607AD" w:rsidRDefault="00D607AD" w:rsidP="00D607AD">
    <w:pPr>
      <w:pStyle w:val="Heading1"/>
      <w:rPr>
        <w:szCs w:val="24"/>
      </w:rPr>
    </w:pPr>
    <w:r w:rsidRPr="00D607AD">
      <w:t>NATIONAL TRANSPORTATION SAFETY BOARD</w:t>
    </w:r>
  </w:p>
  <w:p w:rsidR="007F1FC0" w:rsidRPr="00D607AD" w:rsidRDefault="007F1FC0" w:rsidP="00D607AD">
    <w:pPr>
      <w:pStyle w:val="Heading1"/>
    </w:pPr>
    <w:r w:rsidRPr="00D607AD">
      <w:t>2011 Annual Performance Assessment</w:t>
    </w:r>
  </w:p>
  <w:p w:rsidR="007F1FC0" w:rsidRDefault="007F1FC0" w:rsidP="001A6C69">
    <w:pPr>
      <w:pStyle w:val="MAINTITLE"/>
      <w:framePr w:w="0" w:hRule="auto" w:hSpace="0" w:vSpace="0" w:wrap="auto" w:vAnchor="margin" w:hAnchor="text" w:xAlign="left" w:yAlign="inline"/>
      <w:spacing w:after="0" w:line="240" w:lineRule="auto"/>
      <w:ind w:left="2160" w:firstLine="720"/>
      <w:jc w:val="center"/>
      <w:rPr>
        <w:rFonts w:ascii="Times New Roman" w:hAnsi="Times New Roman"/>
        <w:b/>
        <w:caps w:val="0"/>
        <w:noProof/>
        <w:sz w:val="24"/>
        <w:szCs w:val="24"/>
      </w:rPr>
    </w:pPr>
  </w:p>
  <w:p w:rsidR="00723F53" w:rsidRPr="001A6C69" w:rsidRDefault="00723F53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9F3"/>
    <w:multiLevelType w:val="hybridMultilevel"/>
    <w:tmpl w:val="A81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A82"/>
    <w:multiLevelType w:val="hybridMultilevel"/>
    <w:tmpl w:val="3EBC1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872DE"/>
    <w:multiLevelType w:val="hybridMultilevel"/>
    <w:tmpl w:val="F8CE80A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4972622F"/>
    <w:multiLevelType w:val="hybridMultilevel"/>
    <w:tmpl w:val="02F8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0613B"/>
    <w:multiLevelType w:val="hybridMultilevel"/>
    <w:tmpl w:val="DD12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83320A"/>
    <w:rsid w:val="00010367"/>
    <w:rsid w:val="00014992"/>
    <w:rsid w:val="00014A26"/>
    <w:rsid w:val="00031896"/>
    <w:rsid w:val="00045445"/>
    <w:rsid w:val="0008194E"/>
    <w:rsid w:val="000A6379"/>
    <w:rsid w:val="000D4F91"/>
    <w:rsid w:val="000E1260"/>
    <w:rsid w:val="000E4EC8"/>
    <w:rsid w:val="000F45BB"/>
    <w:rsid w:val="000F7B3C"/>
    <w:rsid w:val="001005DE"/>
    <w:rsid w:val="001109D5"/>
    <w:rsid w:val="00125341"/>
    <w:rsid w:val="00144BE9"/>
    <w:rsid w:val="001951C2"/>
    <w:rsid w:val="001A6C69"/>
    <w:rsid w:val="001A7EEA"/>
    <w:rsid w:val="001E12DC"/>
    <w:rsid w:val="00203416"/>
    <w:rsid w:val="00205879"/>
    <w:rsid w:val="00235F84"/>
    <w:rsid w:val="00250FA7"/>
    <w:rsid w:val="00295F21"/>
    <w:rsid w:val="002A7009"/>
    <w:rsid w:val="002B24C0"/>
    <w:rsid w:val="002B40FE"/>
    <w:rsid w:val="002B6D18"/>
    <w:rsid w:val="002C402E"/>
    <w:rsid w:val="002C5BBD"/>
    <w:rsid w:val="002F70BD"/>
    <w:rsid w:val="0030214F"/>
    <w:rsid w:val="00302C7A"/>
    <w:rsid w:val="003118D8"/>
    <w:rsid w:val="00312D9B"/>
    <w:rsid w:val="00315D83"/>
    <w:rsid w:val="00346580"/>
    <w:rsid w:val="003502CD"/>
    <w:rsid w:val="00354E9F"/>
    <w:rsid w:val="00366A4F"/>
    <w:rsid w:val="003670C8"/>
    <w:rsid w:val="00390185"/>
    <w:rsid w:val="00393C9C"/>
    <w:rsid w:val="003B002B"/>
    <w:rsid w:val="003C30EF"/>
    <w:rsid w:val="003D6B4C"/>
    <w:rsid w:val="003E0C25"/>
    <w:rsid w:val="00404B19"/>
    <w:rsid w:val="00461B91"/>
    <w:rsid w:val="004710CB"/>
    <w:rsid w:val="00486113"/>
    <w:rsid w:val="00492F1C"/>
    <w:rsid w:val="004A683B"/>
    <w:rsid w:val="004B023D"/>
    <w:rsid w:val="004B4488"/>
    <w:rsid w:val="004B57C9"/>
    <w:rsid w:val="004C736A"/>
    <w:rsid w:val="004D1094"/>
    <w:rsid w:val="004E3C15"/>
    <w:rsid w:val="004F230C"/>
    <w:rsid w:val="0051629F"/>
    <w:rsid w:val="00537E1A"/>
    <w:rsid w:val="00557F80"/>
    <w:rsid w:val="00563EFB"/>
    <w:rsid w:val="005A293E"/>
    <w:rsid w:val="005B1530"/>
    <w:rsid w:val="005B79F3"/>
    <w:rsid w:val="00611879"/>
    <w:rsid w:val="006222E8"/>
    <w:rsid w:val="00624347"/>
    <w:rsid w:val="006246C3"/>
    <w:rsid w:val="00636442"/>
    <w:rsid w:val="00644BDC"/>
    <w:rsid w:val="00646D44"/>
    <w:rsid w:val="00653A43"/>
    <w:rsid w:val="00657032"/>
    <w:rsid w:val="0065790D"/>
    <w:rsid w:val="00687189"/>
    <w:rsid w:val="00693D8F"/>
    <w:rsid w:val="006979CB"/>
    <w:rsid w:val="006A7AE8"/>
    <w:rsid w:val="006B52A6"/>
    <w:rsid w:val="006E19BD"/>
    <w:rsid w:val="0070655A"/>
    <w:rsid w:val="00723F53"/>
    <w:rsid w:val="007439A6"/>
    <w:rsid w:val="00745333"/>
    <w:rsid w:val="00751CC3"/>
    <w:rsid w:val="00752ECA"/>
    <w:rsid w:val="0075551D"/>
    <w:rsid w:val="00757D17"/>
    <w:rsid w:val="00761347"/>
    <w:rsid w:val="00773E18"/>
    <w:rsid w:val="00785DEE"/>
    <w:rsid w:val="00797B59"/>
    <w:rsid w:val="007A6583"/>
    <w:rsid w:val="007C1D66"/>
    <w:rsid w:val="007C490A"/>
    <w:rsid w:val="007E516D"/>
    <w:rsid w:val="007F0608"/>
    <w:rsid w:val="007F1FC0"/>
    <w:rsid w:val="00802A24"/>
    <w:rsid w:val="00812778"/>
    <w:rsid w:val="008170D6"/>
    <w:rsid w:val="0082179E"/>
    <w:rsid w:val="00832059"/>
    <w:rsid w:val="0083320A"/>
    <w:rsid w:val="00844244"/>
    <w:rsid w:val="008545DC"/>
    <w:rsid w:val="008833A7"/>
    <w:rsid w:val="008A0189"/>
    <w:rsid w:val="008A6353"/>
    <w:rsid w:val="008B1FCB"/>
    <w:rsid w:val="008B59DA"/>
    <w:rsid w:val="008C5EB7"/>
    <w:rsid w:val="008D7F09"/>
    <w:rsid w:val="008E0AB5"/>
    <w:rsid w:val="008E3788"/>
    <w:rsid w:val="008F566B"/>
    <w:rsid w:val="008F5D72"/>
    <w:rsid w:val="008F7ED8"/>
    <w:rsid w:val="00931162"/>
    <w:rsid w:val="00947304"/>
    <w:rsid w:val="00971B88"/>
    <w:rsid w:val="00972625"/>
    <w:rsid w:val="0099523E"/>
    <w:rsid w:val="009B7A60"/>
    <w:rsid w:val="009D7281"/>
    <w:rsid w:val="009E05A9"/>
    <w:rsid w:val="009F1585"/>
    <w:rsid w:val="009F5B34"/>
    <w:rsid w:val="00A05EA7"/>
    <w:rsid w:val="00A1460F"/>
    <w:rsid w:val="00A17906"/>
    <w:rsid w:val="00A251A7"/>
    <w:rsid w:val="00A42E47"/>
    <w:rsid w:val="00A53FBE"/>
    <w:rsid w:val="00A66CC9"/>
    <w:rsid w:val="00A7021F"/>
    <w:rsid w:val="00A71F76"/>
    <w:rsid w:val="00A83F3D"/>
    <w:rsid w:val="00A856D9"/>
    <w:rsid w:val="00AA0E16"/>
    <w:rsid w:val="00AB04A9"/>
    <w:rsid w:val="00AC0365"/>
    <w:rsid w:val="00AD2C9F"/>
    <w:rsid w:val="00AD38FB"/>
    <w:rsid w:val="00AE225D"/>
    <w:rsid w:val="00AE36F2"/>
    <w:rsid w:val="00B00533"/>
    <w:rsid w:val="00B13B2B"/>
    <w:rsid w:val="00B55D14"/>
    <w:rsid w:val="00B61D55"/>
    <w:rsid w:val="00B67A29"/>
    <w:rsid w:val="00B7322B"/>
    <w:rsid w:val="00B85EA5"/>
    <w:rsid w:val="00B92112"/>
    <w:rsid w:val="00BD3F62"/>
    <w:rsid w:val="00BE09B9"/>
    <w:rsid w:val="00BE7701"/>
    <w:rsid w:val="00BF6284"/>
    <w:rsid w:val="00C01E74"/>
    <w:rsid w:val="00C140EC"/>
    <w:rsid w:val="00C26858"/>
    <w:rsid w:val="00C26FBE"/>
    <w:rsid w:val="00C407EB"/>
    <w:rsid w:val="00C43584"/>
    <w:rsid w:val="00C62D30"/>
    <w:rsid w:val="00C801F6"/>
    <w:rsid w:val="00C8491F"/>
    <w:rsid w:val="00C909D9"/>
    <w:rsid w:val="00C91F5D"/>
    <w:rsid w:val="00C931FA"/>
    <w:rsid w:val="00CB0DB8"/>
    <w:rsid w:val="00CB1F07"/>
    <w:rsid w:val="00CB20B2"/>
    <w:rsid w:val="00CC2246"/>
    <w:rsid w:val="00CC2482"/>
    <w:rsid w:val="00CC545F"/>
    <w:rsid w:val="00CC5516"/>
    <w:rsid w:val="00CE14B7"/>
    <w:rsid w:val="00D02BF0"/>
    <w:rsid w:val="00D052BE"/>
    <w:rsid w:val="00D203D0"/>
    <w:rsid w:val="00D20C38"/>
    <w:rsid w:val="00D559D5"/>
    <w:rsid w:val="00D607AD"/>
    <w:rsid w:val="00D61AF6"/>
    <w:rsid w:val="00DB55D1"/>
    <w:rsid w:val="00DB783A"/>
    <w:rsid w:val="00DC4302"/>
    <w:rsid w:val="00DF72F7"/>
    <w:rsid w:val="00E1638F"/>
    <w:rsid w:val="00E25521"/>
    <w:rsid w:val="00E30885"/>
    <w:rsid w:val="00E53D11"/>
    <w:rsid w:val="00E55F1D"/>
    <w:rsid w:val="00E76AFC"/>
    <w:rsid w:val="00E81B22"/>
    <w:rsid w:val="00E918A3"/>
    <w:rsid w:val="00EB3A1B"/>
    <w:rsid w:val="00EB4AA8"/>
    <w:rsid w:val="00EB5B16"/>
    <w:rsid w:val="00EC18E5"/>
    <w:rsid w:val="00ED78D9"/>
    <w:rsid w:val="00EE1B71"/>
    <w:rsid w:val="00EE6862"/>
    <w:rsid w:val="00EE75DD"/>
    <w:rsid w:val="00EF376E"/>
    <w:rsid w:val="00F12A58"/>
    <w:rsid w:val="00F1783B"/>
    <w:rsid w:val="00F25B3C"/>
    <w:rsid w:val="00F40848"/>
    <w:rsid w:val="00F4117D"/>
    <w:rsid w:val="00F5042F"/>
    <w:rsid w:val="00F56AC3"/>
    <w:rsid w:val="00F67B35"/>
    <w:rsid w:val="00F701EA"/>
    <w:rsid w:val="00F823C5"/>
    <w:rsid w:val="00F974B6"/>
    <w:rsid w:val="00FB106C"/>
    <w:rsid w:val="00FC19EA"/>
    <w:rsid w:val="00FD56CB"/>
    <w:rsid w:val="00FE4FB1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0A"/>
    <w:pPr>
      <w:spacing w:after="0" w:line="240" w:lineRule="auto"/>
    </w:pPr>
    <w:rPr>
      <w:rFonts w:ascii="ITCCentury Book" w:eastAsia="Times New Roman" w:hAnsi="ITCCentury Book" w:cs="Times New Roman"/>
      <w:color w:val="000000"/>
      <w:szCs w:val="20"/>
    </w:rPr>
  </w:style>
  <w:style w:type="paragraph" w:styleId="Heading1">
    <w:name w:val="heading 1"/>
    <w:aliases w:val="NTSB"/>
    <w:basedOn w:val="Normal"/>
    <w:next w:val="Normal"/>
    <w:link w:val="Heading1Char"/>
    <w:uiPriority w:val="9"/>
    <w:qFormat/>
    <w:rsid w:val="00D607AD"/>
    <w:pPr>
      <w:keepNext/>
      <w:keepLines/>
      <w:jc w:val="right"/>
      <w:outlineLvl w:val="0"/>
    </w:pPr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0A"/>
    <w:rPr>
      <w:rFonts w:ascii="ITCCentury Book" w:eastAsia="Times New Roman" w:hAnsi="ITCCentury Book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20A"/>
    <w:rPr>
      <w:rFonts w:ascii="ITCCentury Book" w:eastAsia="Times New Roman" w:hAnsi="ITCCentury Book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0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AINTITLE">
    <w:name w:val="MAIN TITLE"/>
    <w:basedOn w:val="Heading1"/>
    <w:rsid w:val="0083320A"/>
    <w:pPr>
      <w:keepLines w:val="0"/>
      <w:framePr w:w="7200" w:h="2592" w:hRule="exact" w:hSpace="187" w:vSpace="187" w:wrap="around" w:vAnchor="page" w:hAnchor="page" w:x="4537" w:y="980" w:anchorLock="1"/>
      <w:spacing w:after="360" w:line="360" w:lineRule="exact"/>
    </w:pPr>
    <w:rPr>
      <w:rFonts w:ascii="Helvetica" w:eastAsia="Times New Roman" w:hAnsi="Helvetica" w:cs="Times New Roman"/>
      <w:b w:val="0"/>
      <w:bCs w:val="0"/>
      <w:caps/>
      <w:color w:val="000000"/>
      <w:sz w:val="36"/>
      <w:szCs w:val="20"/>
    </w:rPr>
  </w:style>
  <w:style w:type="character" w:customStyle="1" w:styleId="Heading1Char">
    <w:name w:val="Heading 1 Char"/>
    <w:aliases w:val="NTSB Char"/>
    <w:basedOn w:val="DefaultParagraphFont"/>
    <w:link w:val="Heading1"/>
    <w:uiPriority w:val="9"/>
    <w:rsid w:val="00D607AD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rsid w:val="002B40FE"/>
    <w:rPr>
      <w:rFonts w:ascii="Helvetica" w:hAnsi="Helvetica"/>
      <w:color w:val="0000FF"/>
      <w:sz w:val="16"/>
      <w:u w:val="none"/>
    </w:rPr>
  </w:style>
  <w:style w:type="paragraph" w:customStyle="1" w:styleId="ITC8">
    <w:name w:val="ITC 8"/>
    <w:basedOn w:val="BodyText"/>
    <w:rsid w:val="002B40FE"/>
  </w:style>
  <w:style w:type="paragraph" w:customStyle="1" w:styleId="RegularColum">
    <w:name w:val="Regular Colum"/>
    <w:basedOn w:val="BodyText"/>
    <w:rsid w:val="002B40FE"/>
  </w:style>
  <w:style w:type="paragraph" w:styleId="BodyText">
    <w:name w:val="Body Text"/>
    <w:basedOn w:val="Normal"/>
    <w:link w:val="BodyTextChar"/>
    <w:uiPriority w:val="99"/>
    <w:semiHidden/>
    <w:unhideWhenUsed/>
    <w:rsid w:val="002B4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0FE"/>
    <w:rPr>
      <w:rFonts w:ascii="ITCCentury Book" w:eastAsia="Times New Roman" w:hAnsi="ITCCentury Book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B5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53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B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22"/>
    <w:rPr>
      <w:rFonts w:ascii="ITCCentury Book" w:eastAsia="Times New Roman" w:hAnsi="ITCCentury Book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B22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02BF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tsb.gov/doclib/agency_reports/NTSB_IT_Strategic_Plan_Updated_FY10-15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tsb.gov/doclib/agency_reports/Strategic-Plan_2010-2015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tsb.gov/doclib/agency_reports/Strategic_Human_Capital_Pla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://www.ntsb.gov/doclib/agency_reports/SPC1002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tsb.gov/doclib/agency_reports/2010AnnualRe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t1\md11$\md11co\Planning%202011\FY11%20Operating%20Plans\Quarter%204\Q4%20Sharepoint%20backu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FY 2011</a:t>
            </a:r>
            <a:r>
              <a:rPr lang="en-US" sz="1000" baseline="0"/>
              <a:t> </a:t>
            </a:r>
            <a:r>
              <a:rPr lang="en-US" sz="1000" b="1" i="0" u="none" strike="noStrike" baseline="0"/>
              <a:t>Annual </a:t>
            </a:r>
            <a:r>
              <a:rPr lang="en-US" sz="1000"/>
              <a:t>Assessment</a:t>
            </a:r>
          </a:p>
          <a:p>
            <a:pPr>
              <a:defRPr sz="1000"/>
            </a:pPr>
            <a:r>
              <a:rPr lang="en-US" sz="1000"/>
              <a:t>Total</a:t>
            </a:r>
            <a:r>
              <a:rPr lang="en-US" sz="1000" baseline="0"/>
              <a:t> Agency Measures - 30</a:t>
            </a:r>
            <a:endParaRPr lang="en-US" sz="1000"/>
          </a:p>
        </c:rich>
      </c:tx>
      <c:layout>
        <c:manualLayout>
          <c:xMode val="edge"/>
          <c:yMode val="edge"/>
          <c:x val="0.20281427844027541"/>
          <c:y val="4.5527332928704724E-3"/>
        </c:manualLayout>
      </c:layout>
      <c:spPr>
        <a:noFill/>
        <a:ln w="25400">
          <a:noFill/>
        </a:ln>
      </c:spPr>
    </c:title>
    <c:view3D>
      <c:rotX val="30"/>
      <c:rotY val="30"/>
      <c:depthPercent val="110"/>
      <c:perspective val="0"/>
    </c:view3D>
    <c:plotArea>
      <c:layout>
        <c:manualLayout>
          <c:layoutTarget val="inner"/>
          <c:xMode val="edge"/>
          <c:yMode val="edge"/>
          <c:x val="7.7638873684055726E-2"/>
          <c:y val="0.1564063726045152"/>
          <c:w val="0.89646325789263526"/>
          <c:h val="0.631516477107028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37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0C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1.2840804411275525E-2"/>
                  <c:y val="1.3823272090988659E-3"/>
                </c:manualLayout>
              </c:layout>
              <c:showPercent val="1"/>
            </c:dLbl>
            <c:dLbl>
              <c:idx val="2"/>
              <c:layout>
                <c:manualLayout>
                  <c:x val="1.5488940276873839E-2"/>
                  <c:y val="3.8912443636853089E-2"/>
                </c:manualLayout>
              </c:layout>
              <c:showPercent val="1"/>
            </c:dLbl>
            <c:dLbl>
              <c:idx val="3"/>
              <c:delete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Percent val="1"/>
          </c:dLbls>
          <c:cat>
            <c:strRef>
              <c:f>Analysis!$U$5:$Y$5</c:f>
              <c:strCache>
                <c:ptCount val="5"/>
                <c:pt idx="0">
                  <c:v>Minimal Progress</c:v>
                </c:pt>
                <c:pt idx="1">
                  <c:v>Progress Being Made</c:v>
                </c:pt>
                <c:pt idx="2">
                  <c:v>Target Achieved</c:v>
                </c:pt>
                <c:pt idx="3">
                  <c:v>Need for Re-Assessment</c:v>
                </c:pt>
                <c:pt idx="4">
                  <c:v>Not Assessed</c:v>
                </c:pt>
              </c:strCache>
            </c:strRef>
          </c:cat>
          <c:val>
            <c:numRef>
              <c:f>Analysis!$U$27:$Y$27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61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55138015072814428"/>
          <c:y val="0.84407736957889146"/>
          <c:w val="0.3920450988735833"/>
          <c:h val="9.686609686609722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 rtl="0">
            <a:defRPr sz="800" b="0"/>
          </a:pPr>
          <a:endParaRPr lang="en-US"/>
        </a:p>
      </c:txPr>
    </c:legend>
    <c:plotVisOnly val="1"/>
    <c:dispBlanksAs val="zero"/>
  </c:chart>
  <c:spPr>
    <a:solidFill>
      <a:srgbClr val="FFFFFF"/>
    </a:solidFill>
    <a:ln w="3175">
      <a:solidFill>
        <a:schemeClr val="tx1"/>
      </a:solidFill>
      <a:prstDash val="soli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46A768A16AE46A5B12D0EA0EFB484" ma:contentTypeVersion="1" ma:contentTypeDescription="Create a new document." ma:contentTypeScope="" ma:versionID="5577d4af5d15ab35fa5a38e3b0a2f0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fc3d98cac29e4e925172602d6f44d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2E616-24A6-4481-8398-7B0E9B8C8FB5}"/>
</file>

<file path=customXml/itemProps2.xml><?xml version="1.0" encoding="utf-8"?>
<ds:datastoreItem xmlns:ds="http://schemas.openxmlformats.org/officeDocument/2006/customXml" ds:itemID="{64484AD1-B580-4D4A-85FE-782B98AA5FBD}"/>
</file>

<file path=customXml/itemProps3.xml><?xml version="1.0" encoding="utf-8"?>
<ds:datastoreItem xmlns:ds="http://schemas.openxmlformats.org/officeDocument/2006/customXml" ds:itemID="{E00C3B50-6A62-40D9-A3DA-FA9384DD362D}"/>
</file>

<file path=customXml/itemProps4.xml><?xml version="1.0" encoding="utf-8"?>
<ds:datastoreItem xmlns:ds="http://schemas.openxmlformats.org/officeDocument/2006/customXml" ds:itemID="{4787284F-30D9-4D0A-8926-BF8F01580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Annual Performance Highlights Assessment</vt:lpstr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Annual Performance Highlights Assessment</dc:title>
  <dc:subject/>
  <dc:creator>fuls</dc:creator>
  <cp:keywords/>
  <dc:description/>
  <cp:lastModifiedBy>fuls</cp:lastModifiedBy>
  <cp:revision>2</cp:revision>
  <cp:lastPrinted>2010-10-15T13:17:00Z</cp:lastPrinted>
  <dcterms:created xsi:type="dcterms:W3CDTF">2011-10-20T21:03:00Z</dcterms:created>
  <dcterms:modified xsi:type="dcterms:W3CDTF">2011-10-20T21:03:00Z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0x010100B5546A768A16AE46A5B12D0EA0EFB484</vt:lpwstr>
  </property>
  <property fmtid="{D5CDD505-2E9C-101B-9397-08002B2CF9AE}" pid="3" name="TemplateUrl">
    <vt:lpwstr/>
  </property>
  <property fmtid="{D5CDD505-2E9C-101B-9397-08002B2CF9AE}" pid="4" name="Order">
    <vt:r8>9900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